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webSettings.xml" ContentType="application/vnd.openxmlformats-officedocument.wordprocessingml.webSettings+xml"/>
  <Override PartName="/word/numbering.xml" ContentType="application/vnd.openxmlformats-officedocument.wordprocessingml.numbering+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B0C54" w:rsidRPr="00694B31" w:rsidRDefault="005B0C54" w:rsidP="005B0C54">
      <w:pPr>
        <w:pStyle w:val="Ttulo2"/>
        <w:numPr>
          <w:ilvl w:val="0"/>
          <w:numId w:val="0"/>
        </w:numPr>
        <w:jc w:val="center"/>
        <w:rPr>
          <w:sz w:val="22"/>
          <w:szCs w:val="22"/>
        </w:rPr>
      </w:pPr>
      <w:bookmarkStart w:id="0" w:name="_Toc369441405"/>
      <w:r w:rsidRPr="00694B31">
        <w:rPr>
          <w:sz w:val="22"/>
          <w:szCs w:val="22"/>
        </w:rPr>
        <w:t xml:space="preserve">ANEXO </w:t>
      </w:r>
      <w:r w:rsidRPr="00694B31">
        <w:rPr>
          <w:sz w:val="22"/>
          <w:szCs w:val="22"/>
        </w:rPr>
        <w:fldChar w:fldCharType="begin"/>
      </w:r>
      <w:r w:rsidRPr="00694B31">
        <w:rPr>
          <w:sz w:val="22"/>
          <w:szCs w:val="22"/>
        </w:rPr>
        <w:instrText xml:space="preserve"> SEQ Anexo \* ARABIC </w:instrText>
      </w:r>
      <w:r w:rsidRPr="00694B31">
        <w:rPr>
          <w:sz w:val="22"/>
          <w:szCs w:val="22"/>
        </w:rPr>
        <w:fldChar w:fldCharType="separate"/>
      </w:r>
      <w:r>
        <w:rPr>
          <w:noProof/>
          <w:sz w:val="22"/>
          <w:szCs w:val="22"/>
        </w:rPr>
        <w:t>3</w:t>
      </w:r>
      <w:r w:rsidRPr="00694B31">
        <w:rPr>
          <w:sz w:val="22"/>
          <w:szCs w:val="22"/>
        </w:rPr>
        <w:fldChar w:fldCharType="end"/>
      </w:r>
      <w:r w:rsidRPr="00694B31">
        <w:rPr>
          <w:sz w:val="22"/>
          <w:szCs w:val="22"/>
        </w:rPr>
        <w:t>. Documentación solicitada y entregada.</w:t>
      </w:r>
      <w:bookmarkEnd w:id="0"/>
    </w:p>
    <w:p w:rsidR="005B0C54" w:rsidRPr="00CE505A" w:rsidRDefault="005B0C54" w:rsidP="005B0C54"/>
    <w:tbl>
      <w:tblPr>
        <w:tblStyle w:val="Tablaconcuadrcula"/>
        <w:tblW w:w="5000" w:type="pct"/>
        <w:tblLook w:val="04A0" w:firstRow="1" w:lastRow="0" w:firstColumn="1" w:lastColumn="0" w:noHBand="0" w:noVBand="1"/>
      </w:tblPr>
      <w:tblGrid>
        <w:gridCol w:w="545"/>
        <w:gridCol w:w="6085"/>
        <w:gridCol w:w="1843"/>
        <w:gridCol w:w="1700"/>
        <w:gridCol w:w="3049"/>
      </w:tblGrid>
      <w:tr w:rsidR="005B0C54" w:rsidRPr="003964D4" w:rsidTr="005B0C54">
        <w:trPr>
          <w:trHeight w:val="395"/>
        </w:trPr>
        <w:tc>
          <w:tcPr>
            <w:tcW w:w="206" w:type="pct"/>
            <w:shd w:val="clear" w:color="auto" w:fill="D9D9D9" w:themeFill="background1" w:themeFillShade="D9"/>
            <w:vAlign w:val="center"/>
          </w:tcPr>
          <w:p w:rsidR="005B0C54" w:rsidRPr="003964D4" w:rsidRDefault="005B0C54" w:rsidP="008E06E7">
            <w:pPr>
              <w:jc w:val="center"/>
              <w:rPr>
                <w:rFonts w:cstheme="minorHAnsi"/>
                <w:b/>
                <w:color w:val="A6A6A6" w:themeColor="background1" w:themeShade="A6"/>
              </w:rPr>
            </w:pPr>
            <w:r w:rsidRPr="003964D4">
              <w:rPr>
                <w:rFonts w:cstheme="minorHAnsi"/>
                <w:b/>
              </w:rPr>
              <w:t>N°</w:t>
            </w:r>
          </w:p>
        </w:tc>
        <w:tc>
          <w:tcPr>
            <w:tcW w:w="2301" w:type="pct"/>
            <w:shd w:val="clear" w:color="auto" w:fill="D9D9D9" w:themeFill="background1" w:themeFillShade="D9"/>
            <w:vAlign w:val="center"/>
          </w:tcPr>
          <w:p w:rsidR="005B0C54" w:rsidRPr="003964D4" w:rsidRDefault="005B0C54" w:rsidP="008E06E7">
            <w:pPr>
              <w:jc w:val="center"/>
              <w:rPr>
                <w:rFonts w:cstheme="minorHAnsi"/>
                <w:b/>
              </w:rPr>
            </w:pPr>
            <w:r w:rsidRPr="003964D4">
              <w:rPr>
                <w:rFonts w:cstheme="minorHAnsi"/>
                <w:b/>
              </w:rPr>
              <w:t>Documento solicitado</w:t>
            </w:r>
          </w:p>
        </w:tc>
        <w:tc>
          <w:tcPr>
            <w:tcW w:w="697" w:type="pct"/>
            <w:shd w:val="clear" w:color="auto" w:fill="D9D9D9" w:themeFill="background1" w:themeFillShade="D9"/>
            <w:vAlign w:val="center"/>
          </w:tcPr>
          <w:p w:rsidR="005B0C54" w:rsidRPr="003964D4" w:rsidRDefault="005B0C54" w:rsidP="008E06E7">
            <w:pPr>
              <w:jc w:val="center"/>
              <w:rPr>
                <w:rFonts w:cstheme="minorHAnsi"/>
                <w:b/>
              </w:rPr>
            </w:pPr>
            <w:r w:rsidRPr="003964D4">
              <w:rPr>
                <w:rFonts w:cstheme="minorHAnsi"/>
                <w:b/>
              </w:rPr>
              <w:t>Plazo de entrega</w:t>
            </w:r>
          </w:p>
        </w:tc>
        <w:tc>
          <w:tcPr>
            <w:tcW w:w="643" w:type="pct"/>
            <w:shd w:val="clear" w:color="auto" w:fill="D9D9D9" w:themeFill="background1" w:themeFillShade="D9"/>
            <w:vAlign w:val="center"/>
          </w:tcPr>
          <w:p w:rsidR="005B0C54" w:rsidRPr="003964D4" w:rsidRDefault="005B0C54" w:rsidP="008E06E7">
            <w:pPr>
              <w:jc w:val="center"/>
              <w:rPr>
                <w:rFonts w:cstheme="minorHAnsi"/>
                <w:b/>
              </w:rPr>
            </w:pPr>
            <w:r w:rsidRPr="003964D4">
              <w:rPr>
                <w:rFonts w:cstheme="minorHAnsi"/>
                <w:b/>
              </w:rPr>
              <w:t>Fecha entrega</w:t>
            </w:r>
          </w:p>
        </w:tc>
        <w:tc>
          <w:tcPr>
            <w:tcW w:w="1153" w:type="pct"/>
            <w:shd w:val="clear" w:color="auto" w:fill="D9D9D9" w:themeFill="background1" w:themeFillShade="D9"/>
            <w:vAlign w:val="center"/>
          </w:tcPr>
          <w:p w:rsidR="005B0C54" w:rsidRPr="003964D4" w:rsidRDefault="005B0C54" w:rsidP="008E06E7">
            <w:pPr>
              <w:jc w:val="center"/>
              <w:rPr>
                <w:rFonts w:cstheme="minorHAnsi"/>
                <w:b/>
              </w:rPr>
            </w:pPr>
            <w:r>
              <w:rPr>
                <w:rFonts w:cstheme="minorHAnsi"/>
                <w:b/>
              </w:rPr>
              <w:t>Observaciones</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Registros que acrediten la comercialización de la harina de carne-hueso y sebo generadas como subproductos, correspondientes a los últimos 12 meses</w:t>
            </w:r>
          </w:p>
        </w:tc>
        <w:tc>
          <w:tcPr>
            <w:tcW w:w="697" w:type="pct"/>
          </w:tcPr>
          <w:p w:rsidR="005B0C54" w:rsidRPr="009B7071" w:rsidRDefault="005B0C54" w:rsidP="008E06E7">
            <w:pPr>
              <w:jc w:val="center"/>
              <w:rPr>
                <w:rFonts w:eastAsia="Times New Roman" w:cs="Century Gothic"/>
                <w:iCs/>
                <w:kern w:val="28"/>
                <w:lang w:eastAsia="es-CL"/>
              </w:rPr>
            </w:pPr>
            <w:r w:rsidRPr="009B7071">
              <w:rPr>
                <w:rFonts w:eastAsia="Times New Roman" w:cs="Century Gothic"/>
                <w:iCs/>
                <w:kern w:val="28"/>
                <w:lang w:eastAsia="es-CL"/>
              </w:rPr>
              <w:t>05/06/2013</w:t>
            </w:r>
          </w:p>
        </w:tc>
        <w:tc>
          <w:tcPr>
            <w:tcW w:w="643" w:type="pct"/>
          </w:tcPr>
          <w:p w:rsidR="005B0C54" w:rsidRPr="009B7071" w:rsidRDefault="005B0C54" w:rsidP="008E06E7">
            <w:pPr>
              <w:widowControl w:val="0"/>
              <w:overflowPunct w:val="0"/>
              <w:autoSpaceDE w:val="0"/>
              <w:autoSpaceDN w:val="0"/>
              <w:adjustRightInd w:val="0"/>
              <w:spacing w:after="120"/>
              <w:jc w:val="center"/>
              <w:rPr>
                <w:rFonts w:eastAsia="Times New Roman" w:cs="Century Gothic"/>
                <w:iCs/>
                <w:kern w:val="28"/>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cstheme="minorHAnsi"/>
                <w:highlight w:val="yellow"/>
              </w:rPr>
            </w:pPr>
            <w:r w:rsidRPr="00AF665D">
              <w:rPr>
                <w:rFonts w:eastAsia="Times New Roman" w:cs="Century Gothic"/>
                <w:iCs/>
                <w:kern w:val="28"/>
                <w:lang w:eastAsia="es-CL"/>
              </w:rPr>
              <w:t>Asociado al considerando 3.5.3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2</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Registros de controles diarios de temperatura asociados a cada pila sometida al proceso de compostaje, indicando para cada una de ellas la fecha de inicio del proceso, fecha de envío a su etapa de maduración, volumen y/o peso aproximado, correspondientes a los últimos 6 meses.</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547EFF">
              <w:rPr>
                <w:rFonts w:eastAsia="Times New Roman" w:cs="Century Gothic"/>
                <w:iCs/>
                <w:kern w:val="28"/>
                <w:lang w:eastAsia="es-CL"/>
              </w:rPr>
              <w:t>Asociado al considerando 3.6.1.3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3</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Acreditación de la obtención del PAS correspondiente al Art. 73 del DS N°95/2001 para introducir o descargar en aguas sometidas a la jurisdicción nacional, materias, energía o sustancias nocivas o peligrosas de cualquier especie, que no ocasionen daños o perjuicios en las aguas, la flora o la fauna, a que se refiere el artículo 140 del D.S. 1/92 del Ministerio de Defensa Nacional, Reglamento para el Control de la Contaminación Acuática.</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3B7624">
              <w:rPr>
                <w:rFonts w:eastAsia="Times New Roman" w:cs="Century Gothic"/>
                <w:iCs/>
                <w:kern w:val="28"/>
                <w:lang w:eastAsia="es-CL"/>
              </w:rPr>
              <w:t>Asociado al considerando 5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4</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Acreditación de la obtención del PAS correspondiente al Art. 90 del DS N°95/2001 para la construcción, modificación y ampliación de cualquier obra pública o particular destinada a la evacuación, tratamiento o disposición final de residuos industriales o mineros, a que se refiere el artículo 71 letra b) del D.F.L. 725/67, Código Sanitario.</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3B7624">
              <w:rPr>
                <w:rFonts w:eastAsia="Times New Roman" w:cs="Century Gothic"/>
                <w:iCs/>
                <w:kern w:val="28"/>
                <w:lang w:eastAsia="es-CL"/>
              </w:rPr>
              <w:t>Asociado al considerando 5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5</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Acreditación de la obtención del PAS correspondiente al Art. 91 del DS N°95/2001 para la construcción, modificación y ampliación de cualquier obra pública o particular destinada a la evacuación, tratamiento o disposición final de desagües y aguas servidas de cualquier naturaleza, a que se refiere el artículo 71 letra b) del D.F.L. Nº 725/67, Código Sanitario.</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3B7624">
              <w:rPr>
                <w:rFonts w:eastAsia="Times New Roman" w:cs="Century Gothic"/>
                <w:iCs/>
                <w:kern w:val="28"/>
                <w:lang w:eastAsia="es-CL"/>
              </w:rPr>
              <w:t>Asociado al considerando 5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6</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Acreditación de la obtención del PAS correspondiente al Art. 93 del DS N°95/2001 para la construcción, modificación y ampliación de cualquier planta de tratamiento de basuras y desperdicios de cualquier clase; o para la instalación de todo lugar destinado a la acumulación, selección, industrialización, comercio o disposición final de basuras y desperdicios de cualquier clase, a que se refieren los artículos 79 y 80 del D.F.L. Nº 725/67, Código Sanitario.</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3B7624">
              <w:rPr>
                <w:rFonts w:eastAsia="Times New Roman" w:cs="Century Gothic"/>
                <w:iCs/>
                <w:kern w:val="28"/>
                <w:lang w:eastAsia="es-CL"/>
              </w:rPr>
              <w:t>Asociado al considerando 5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lastRenderedPageBreak/>
              <w:t>7</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 xml:space="preserve">Copia de pronunciamientos emitidos por organismos sectoriales dentro de los últimos 12 meses, respecto de la factibilidad para disponer el compost maduro (mejorador de suelos) en los lugares propuestos por el titular. Adicionalmente, en caso de haberse efectuado el envío del producto antes señalado a un vertedero autorizado dentro del mismo plazo mencionado, se deberán adjuntar además los correspondientes registros de despacho y recepción en destino. </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Asociado al considerando 6.1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8</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 xml:space="preserve">Registros de análisis realizados bajo la </w:t>
            </w:r>
            <w:proofErr w:type="spellStart"/>
            <w:r w:rsidRPr="00107FA4">
              <w:rPr>
                <w:rFonts w:eastAsia="Times New Roman" w:cs="Century Gothic"/>
                <w:iCs/>
                <w:kern w:val="28"/>
                <w:lang w:eastAsia="es-CL"/>
              </w:rPr>
              <w:t>NCh</w:t>
            </w:r>
            <w:proofErr w:type="spellEnd"/>
            <w:r w:rsidRPr="00107FA4">
              <w:rPr>
                <w:rFonts w:eastAsia="Times New Roman" w:cs="Century Gothic"/>
                <w:iCs/>
                <w:kern w:val="28"/>
                <w:lang w:eastAsia="es-CL"/>
              </w:rPr>
              <w:t xml:space="preserve"> 2880 al producto final "mejorador de suelos", previo a su empleo como abono, dentro de los últimos 12 meses.</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 xml:space="preserve">Asociado al considerando </w:t>
            </w:r>
            <w:r>
              <w:rPr>
                <w:rFonts w:eastAsia="Times New Roman" w:cs="Century Gothic"/>
                <w:iCs/>
                <w:kern w:val="28"/>
                <w:lang w:eastAsia="es-CL"/>
              </w:rPr>
              <w:t>7</w:t>
            </w:r>
            <w:r w:rsidRPr="008F3A52">
              <w:rPr>
                <w:rFonts w:eastAsia="Times New Roman" w:cs="Century Gothic"/>
                <w:iCs/>
                <w:kern w:val="28"/>
                <w:lang w:eastAsia="es-CL"/>
              </w:rPr>
              <w:t>.</w:t>
            </w:r>
            <w:r>
              <w:rPr>
                <w:rFonts w:eastAsia="Times New Roman" w:cs="Century Gothic"/>
                <w:iCs/>
                <w:kern w:val="28"/>
                <w:lang w:eastAsia="es-CL"/>
              </w:rPr>
              <w:t>2</w:t>
            </w:r>
            <w:r w:rsidRPr="008F3A52">
              <w:rPr>
                <w:rFonts w:eastAsia="Times New Roman" w:cs="Century Gothic"/>
                <w:iCs/>
                <w:kern w:val="28"/>
                <w:lang w:eastAsia="es-CL"/>
              </w:rPr>
              <w:t xml:space="preserve"> de la RCA N°080/2008.</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Pr>
                <w:rFonts w:cstheme="minorHAnsi"/>
                <w:iCs/>
              </w:rPr>
              <w:t>9</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Plano As-</w:t>
            </w:r>
            <w:proofErr w:type="spellStart"/>
            <w:r w:rsidRPr="00107FA4">
              <w:rPr>
                <w:rFonts w:eastAsia="Times New Roman" w:cs="Century Gothic"/>
                <w:iCs/>
                <w:kern w:val="28"/>
                <w:lang w:eastAsia="es-CL"/>
              </w:rPr>
              <w:t>Built</w:t>
            </w:r>
            <w:proofErr w:type="spellEnd"/>
            <w:r w:rsidRPr="00107FA4">
              <w:rPr>
                <w:rFonts w:eastAsia="Times New Roman" w:cs="Century Gothic"/>
                <w:iCs/>
                <w:kern w:val="28"/>
                <w:lang w:eastAsia="es-CL"/>
              </w:rPr>
              <w:t xml:space="preserve"> general del emisario submarino construido (donde puedan apreciarse las características principales de la obra y su lugar de emplazamiento definitivo).</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 xml:space="preserve">Asociado al considerando </w:t>
            </w:r>
            <w:r>
              <w:rPr>
                <w:rFonts w:eastAsia="Times New Roman" w:cs="Century Gothic"/>
                <w:iCs/>
                <w:kern w:val="28"/>
                <w:lang w:eastAsia="es-CL"/>
              </w:rPr>
              <w:t>3</w:t>
            </w:r>
            <w:r w:rsidRPr="008F3A52">
              <w:rPr>
                <w:rFonts w:eastAsia="Times New Roman" w:cs="Century Gothic"/>
                <w:iCs/>
                <w:kern w:val="28"/>
                <w:lang w:eastAsia="es-CL"/>
              </w:rPr>
              <w:t xml:space="preserve"> de la RCA N°0</w:t>
            </w:r>
            <w:r>
              <w:rPr>
                <w:rFonts w:eastAsia="Times New Roman" w:cs="Century Gothic"/>
                <w:iCs/>
                <w:kern w:val="28"/>
                <w:lang w:eastAsia="es-CL"/>
              </w:rPr>
              <w:t>30</w:t>
            </w:r>
            <w:r w:rsidRPr="008F3A52">
              <w:rPr>
                <w:rFonts w:eastAsia="Times New Roman" w:cs="Century Gothic"/>
                <w:iCs/>
                <w:kern w:val="28"/>
                <w:lang w:eastAsia="es-CL"/>
              </w:rPr>
              <w:t>/200</w:t>
            </w:r>
            <w:r>
              <w:rPr>
                <w:rFonts w:eastAsia="Times New Roman" w:cs="Century Gothic"/>
                <w:iCs/>
                <w:kern w:val="28"/>
                <w:lang w:eastAsia="es-CL"/>
              </w:rPr>
              <w:t>5</w:t>
            </w:r>
            <w:r w:rsidRPr="008F3A52">
              <w:rPr>
                <w:rFonts w:eastAsia="Times New Roman" w:cs="Century Gothic"/>
                <w:iCs/>
                <w:kern w:val="28"/>
                <w:lang w:eastAsia="es-CL"/>
              </w:rPr>
              <w:t>.</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r>
              <w:rPr>
                <w:rFonts w:cstheme="minorHAnsi"/>
                <w:iCs/>
              </w:rPr>
              <w:t>0</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Plano vigente de las redes de alcantarillado de Riles y Aguas Servidas situadas tanto al interior como al exterior (emisario terrestre) del área de emplazamiento del Frigorífico.</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Asociado a</w:t>
            </w:r>
            <w:r>
              <w:rPr>
                <w:rFonts w:eastAsia="Times New Roman" w:cs="Century Gothic"/>
                <w:iCs/>
                <w:kern w:val="28"/>
                <w:lang w:eastAsia="es-CL"/>
              </w:rPr>
              <w:t xml:space="preserve"> </w:t>
            </w:r>
            <w:r w:rsidRPr="008F3A52">
              <w:rPr>
                <w:rFonts w:eastAsia="Times New Roman" w:cs="Century Gothic"/>
                <w:iCs/>
                <w:kern w:val="28"/>
                <w:lang w:eastAsia="es-CL"/>
              </w:rPr>
              <w:t>l</w:t>
            </w:r>
            <w:r>
              <w:rPr>
                <w:rFonts w:eastAsia="Times New Roman" w:cs="Century Gothic"/>
                <w:iCs/>
                <w:kern w:val="28"/>
                <w:lang w:eastAsia="es-CL"/>
              </w:rPr>
              <w:t>os</w:t>
            </w:r>
            <w:r w:rsidRPr="008F3A52">
              <w:rPr>
                <w:rFonts w:eastAsia="Times New Roman" w:cs="Century Gothic"/>
                <w:iCs/>
                <w:kern w:val="28"/>
                <w:lang w:eastAsia="es-CL"/>
              </w:rPr>
              <w:t xml:space="preserve"> considerando</w:t>
            </w:r>
            <w:r>
              <w:rPr>
                <w:rFonts w:eastAsia="Times New Roman" w:cs="Century Gothic"/>
                <w:iCs/>
                <w:kern w:val="28"/>
                <w:lang w:eastAsia="es-CL"/>
              </w:rPr>
              <w:t>s</w:t>
            </w:r>
            <w:r w:rsidRPr="008F3A52">
              <w:rPr>
                <w:rFonts w:eastAsia="Times New Roman" w:cs="Century Gothic"/>
                <w:iCs/>
                <w:kern w:val="28"/>
                <w:lang w:eastAsia="es-CL"/>
              </w:rPr>
              <w:t xml:space="preserve"> </w:t>
            </w:r>
            <w:r>
              <w:rPr>
                <w:rFonts w:eastAsia="Times New Roman" w:cs="Century Gothic"/>
                <w:iCs/>
                <w:kern w:val="28"/>
                <w:lang w:eastAsia="es-CL"/>
              </w:rPr>
              <w:t>3.3.1</w:t>
            </w:r>
            <w:r w:rsidRPr="008F3A52">
              <w:rPr>
                <w:rFonts w:eastAsia="Times New Roman" w:cs="Century Gothic"/>
                <w:iCs/>
                <w:kern w:val="28"/>
                <w:lang w:eastAsia="es-CL"/>
              </w:rPr>
              <w:t xml:space="preserve"> </w:t>
            </w:r>
            <w:r>
              <w:rPr>
                <w:rFonts w:eastAsia="Times New Roman" w:cs="Century Gothic"/>
                <w:iCs/>
                <w:kern w:val="28"/>
                <w:lang w:eastAsia="es-CL"/>
              </w:rPr>
              <w:t xml:space="preserve">y 3.6.2 </w:t>
            </w:r>
            <w:r w:rsidRPr="008F3A52">
              <w:rPr>
                <w:rFonts w:eastAsia="Times New Roman" w:cs="Century Gothic"/>
                <w:iCs/>
                <w:kern w:val="28"/>
                <w:lang w:eastAsia="es-CL"/>
              </w:rPr>
              <w:t>de la RCA N°0</w:t>
            </w:r>
            <w:r>
              <w:rPr>
                <w:rFonts w:eastAsia="Times New Roman" w:cs="Century Gothic"/>
                <w:iCs/>
                <w:kern w:val="28"/>
                <w:lang w:eastAsia="es-CL"/>
              </w:rPr>
              <w:t>30</w:t>
            </w:r>
            <w:r w:rsidRPr="008F3A52">
              <w:rPr>
                <w:rFonts w:eastAsia="Times New Roman" w:cs="Century Gothic"/>
                <w:iCs/>
                <w:kern w:val="28"/>
                <w:lang w:eastAsia="es-CL"/>
              </w:rPr>
              <w:t>/200</w:t>
            </w:r>
            <w:r>
              <w:rPr>
                <w:rFonts w:eastAsia="Times New Roman" w:cs="Century Gothic"/>
                <w:iCs/>
                <w:kern w:val="28"/>
                <w:lang w:eastAsia="es-CL"/>
              </w:rPr>
              <w:t>5</w:t>
            </w:r>
            <w:r w:rsidRPr="008F3A52">
              <w:rPr>
                <w:rFonts w:eastAsia="Times New Roman" w:cs="Century Gothic"/>
                <w:iCs/>
                <w:kern w:val="28"/>
                <w:lang w:eastAsia="es-CL"/>
              </w:rPr>
              <w:t>.</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r>
              <w:rPr>
                <w:rFonts w:cstheme="minorHAnsi"/>
                <w:iCs/>
              </w:rPr>
              <w:t>1</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 xml:space="preserve">Registro de mediciones periódicas de caudal obtenidas de </w:t>
            </w:r>
            <w:proofErr w:type="spellStart"/>
            <w:r w:rsidRPr="00107FA4">
              <w:rPr>
                <w:rFonts w:eastAsia="Times New Roman" w:cs="Century Gothic"/>
                <w:iCs/>
                <w:kern w:val="28"/>
                <w:lang w:eastAsia="es-CL"/>
              </w:rPr>
              <w:t>caudalímetro</w:t>
            </w:r>
            <w:proofErr w:type="spellEnd"/>
            <w:r w:rsidRPr="00107FA4">
              <w:rPr>
                <w:rFonts w:eastAsia="Times New Roman" w:cs="Century Gothic"/>
                <w:iCs/>
                <w:kern w:val="28"/>
                <w:lang w:eastAsia="es-CL"/>
              </w:rPr>
              <w:t xml:space="preserve"> automático y correspondientes a los últimos 6 meses (Planilla MS Excel).</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 xml:space="preserve">Asociado al considerando </w:t>
            </w:r>
            <w:r>
              <w:rPr>
                <w:rFonts w:eastAsia="Times New Roman" w:cs="Century Gothic"/>
                <w:iCs/>
                <w:kern w:val="28"/>
                <w:lang w:eastAsia="es-CL"/>
              </w:rPr>
              <w:t>3.3.6</w:t>
            </w:r>
            <w:r w:rsidRPr="008F3A52">
              <w:rPr>
                <w:rFonts w:eastAsia="Times New Roman" w:cs="Century Gothic"/>
                <w:iCs/>
                <w:kern w:val="28"/>
                <w:lang w:eastAsia="es-CL"/>
              </w:rPr>
              <w:t xml:space="preserve"> de la RCA N°0</w:t>
            </w:r>
            <w:r>
              <w:rPr>
                <w:rFonts w:eastAsia="Times New Roman" w:cs="Century Gothic"/>
                <w:iCs/>
                <w:kern w:val="28"/>
                <w:lang w:eastAsia="es-CL"/>
              </w:rPr>
              <w:t>30</w:t>
            </w:r>
            <w:r w:rsidRPr="008F3A52">
              <w:rPr>
                <w:rFonts w:eastAsia="Times New Roman" w:cs="Century Gothic"/>
                <w:iCs/>
                <w:kern w:val="28"/>
                <w:lang w:eastAsia="es-CL"/>
              </w:rPr>
              <w:t>/200</w:t>
            </w:r>
            <w:r>
              <w:rPr>
                <w:rFonts w:eastAsia="Times New Roman" w:cs="Century Gothic"/>
                <w:iCs/>
                <w:kern w:val="28"/>
                <w:lang w:eastAsia="es-CL"/>
              </w:rPr>
              <w:t>5</w:t>
            </w:r>
            <w:r w:rsidRPr="008F3A52">
              <w:rPr>
                <w:rFonts w:eastAsia="Times New Roman" w:cs="Century Gothic"/>
                <w:iCs/>
                <w:kern w:val="28"/>
                <w:lang w:eastAsia="es-CL"/>
              </w:rPr>
              <w:t>.</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r>
              <w:rPr>
                <w:rFonts w:cstheme="minorHAnsi"/>
                <w:iCs/>
              </w:rPr>
              <w:t>2</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Registros de Despacho y Recepción en el relleno sanitario de Punta Arenas, de los lodos extraídos de la planta de tratamiento de aguas servidas, correspondientes a los últimos 2 años</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 xml:space="preserve">Asociado al considerando </w:t>
            </w:r>
            <w:r>
              <w:rPr>
                <w:rFonts w:eastAsia="Times New Roman" w:cs="Century Gothic"/>
                <w:iCs/>
                <w:kern w:val="28"/>
                <w:lang w:eastAsia="es-CL"/>
              </w:rPr>
              <w:t>3.6.2</w:t>
            </w:r>
            <w:r w:rsidRPr="008F3A52">
              <w:rPr>
                <w:rFonts w:eastAsia="Times New Roman" w:cs="Century Gothic"/>
                <w:iCs/>
                <w:kern w:val="28"/>
                <w:lang w:eastAsia="es-CL"/>
              </w:rPr>
              <w:t xml:space="preserve"> de la RCA N°0</w:t>
            </w:r>
            <w:r>
              <w:rPr>
                <w:rFonts w:eastAsia="Times New Roman" w:cs="Century Gothic"/>
                <w:iCs/>
                <w:kern w:val="28"/>
                <w:lang w:eastAsia="es-CL"/>
              </w:rPr>
              <w:t>30</w:t>
            </w:r>
            <w:r w:rsidRPr="008F3A52">
              <w:rPr>
                <w:rFonts w:eastAsia="Times New Roman" w:cs="Century Gothic"/>
                <w:iCs/>
                <w:kern w:val="28"/>
                <w:lang w:eastAsia="es-CL"/>
              </w:rPr>
              <w:t>/200</w:t>
            </w:r>
            <w:r>
              <w:rPr>
                <w:rFonts w:eastAsia="Times New Roman" w:cs="Century Gothic"/>
                <w:iCs/>
                <w:kern w:val="28"/>
                <w:lang w:eastAsia="es-CL"/>
              </w:rPr>
              <w:t>5</w:t>
            </w:r>
            <w:r w:rsidRPr="008F3A52">
              <w:rPr>
                <w:rFonts w:eastAsia="Times New Roman" w:cs="Century Gothic"/>
                <w:iCs/>
                <w:kern w:val="28"/>
                <w:lang w:eastAsia="es-CL"/>
              </w:rPr>
              <w:t>.</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r>
              <w:rPr>
                <w:rFonts w:cstheme="minorHAnsi"/>
                <w:iCs/>
              </w:rPr>
              <w:t>3</w:t>
            </w:r>
          </w:p>
        </w:tc>
        <w:tc>
          <w:tcPr>
            <w:tcW w:w="2301" w:type="pct"/>
            <w:vAlign w:val="center"/>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Registros de análisis mensuales de autocontrol de las aguas residuales descargadas a través del emisario submarino (D.S. SEGPRES N°90/00), correspondientes a los últimos 6 meses.</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8F3A52">
              <w:rPr>
                <w:rFonts w:eastAsia="Times New Roman" w:cs="Century Gothic"/>
                <w:iCs/>
                <w:kern w:val="28"/>
                <w:lang w:eastAsia="es-CL"/>
              </w:rPr>
              <w:t xml:space="preserve">Asociado al considerando </w:t>
            </w:r>
            <w:r>
              <w:rPr>
                <w:rFonts w:eastAsia="Times New Roman" w:cs="Century Gothic"/>
                <w:iCs/>
                <w:kern w:val="28"/>
                <w:lang w:eastAsia="es-CL"/>
              </w:rPr>
              <w:t>3.7.5</w:t>
            </w:r>
            <w:r w:rsidRPr="008F3A52">
              <w:rPr>
                <w:rFonts w:eastAsia="Times New Roman" w:cs="Century Gothic"/>
                <w:iCs/>
                <w:kern w:val="28"/>
                <w:lang w:eastAsia="es-CL"/>
              </w:rPr>
              <w:t xml:space="preserve"> de la RCA N°0</w:t>
            </w:r>
            <w:r>
              <w:rPr>
                <w:rFonts w:eastAsia="Times New Roman" w:cs="Century Gothic"/>
                <w:iCs/>
                <w:kern w:val="28"/>
                <w:lang w:eastAsia="es-CL"/>
              </w:rPr>
              <w:t>30</w:t>
            </w:r>
            <w:r w:rsidRPr="008F3A52">
              <w:rPr>
                <w:rFonts w:eastAsia="Times New Roman" w:cs="Century Gothic"/>
                <w:iCs/>
                <w:kern w:val="28"/>
                <w:lang w:eastAsia="es-CL"/>
              </w:rPr>
              <w:t>/200</w:t>
            </w:r>
            <w:r>
              <w:rPr>
                <w:rFonts w:eastAsia="Times New Roman" w:cs="Century Gothic"/>
                <w:iCs/>
                <w:kern w:val="28"/>
                <w:lang w:eastAsia="es-CL"/>
              </w:rPr>
              <w:t>5</w:t>
            </w:r>
            <w:r w:rsidRPr="008F3A52">
              <w:rPr>
                <w:rFonts w:eastAsia="Times New Roman" w:cs="Century Gothic"/>
                <w:iCs/>
                <w:kern w:val="28"/>
                <w:lang w:eastAsia="es-CL"/>
              </w:rPr>
              <w:t>.</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107FA4">
              <w:rPr>
                <w:rFonts w:cstheme="minorHAnsi"/>
                <w:iCs/>
              </w:rPr>
              <w:t>1</w:t>
            </w:r>
            <w:r>
              <w:rPr>
                <w:rFonts w:cstheme="minorHAnsi"/>
                <w:iCs/>
              </w:rPr>
              <w:t>4</w:t>
            </w:r>
          </w:p>
        </w:tc>
        <w:tc>
          <w:tcPr>
            <w:tcW w:w="2301" w:type="pct"/>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107FA4">
              <w:rPr>
                <w:rFonts w:eastAsia="Times New Roman" w:cs="Century Gothic"/>
                <w:iCs/>
                <w:kern w:val="28"/>
                <w:lang w:eastAsia="es-CL"/>
              </w:rPr>
              <w:t xml:space="preserve">Plan de monitoreo de emisiones remitido a la Autoridad Sanitaria en virtud del Art. 12 del D.S. MINSAL N°45/2007 “Norma de emisión para incineración y </w:t>
            </w:r>
            <w:proofErr w:type="spellStart"/>
            <w:r w:rsidRPr="00107FA4">
              <w:rPr>
                <w:rFonts w:eastAsia="Times New Roman" w:cs="Century Gothic"/>
                <w:iCs/>
                <w:kern w:val="28"/>
                <w:lang w:eastAsia="es-CL"/>
              </w:rPr>
              <w:t>coincineración</w:t>
            </w:r>
            <w:proofErr w:type="spellEnd"/>
            <w:r w:rsidRPr="00107FA4">
              <w:rPr>
                <w:rFonts w:eastAsia="Times New Roman" w:cs="Century Gothic"/>
                <w:iCs/>
                <w:kern w:val="28"/>
                <w:lang w:eastAsia="es-CL"/>
              </w:rPr>
              <w:t>”</w:t>
            </w:r>
          </w:p>
        </w:tc>
        <w:tc>
          <w:tcPr>
            <w:tcW w:w="697" w:type="pct"/>
          </w:tcPr>
          <w:p w:rsidR="005B0C54" w:rsidRPr="000C2418" w:rsidRDefault="005B0C54" w:rsidP="008E06E7">
            <w:pPr>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643" w:type="pct"/>
          </w:tcPr>
          <w:p w:rsidR="005B0C54" w:rsidRPr="000C2418" w:rsidRDefault="005B0C54" w:rsidP="008E06E7">
            <w:pPr>
              <w:widowControl w:val="0"/>
              <w:overflowPunct w:val="0"/>
              <w:autoSpaceDE w:val="0"/>
              <w:autoSpaceDN w:val="0"/>
              <w:adjustRightInd w:val="0"/>
              <w:spacing w:after="120"/>
              <w:jc w:val="center"/>
              <w:rPr>
                <w:rFonts w:eastAsia="Times New Roman" w:cs="Century Gothic"/>
                <w:iCs/>
                <w:kern w:val="28"/>
                <w:highlight w:val="yellow"/>
                <w:lang w:eastAsia="es-CL"/>
              </w:rPr>
            </w:pPr>
            <w:r w:rsidRPr="009B7071">
              <w:rPr>
                <w:rFonts w:eastAsia="Times New Roman" w:cs="Century Gothic"/>
                <w:iCs/>
                <w:kern w:val="28"/>
                <w:lang w:eastAsia="es-CL"/>
              </w:rPr>
              <w:t>05/06/2013</w:t>
            </w:r>
          </w:p>
        </w:tc>
        <w:tc>
          <w:tcPr>
            <w:tcW w:w="1153" w:type="pct"/>
          </w:tcPr>
          <w:p w:rsidR="005B0C54" w:rsidRPr="000C2418" w:rsidRDefault="005B0C54" w:rsidP="008E06E7">
            <w:pPr>
              <w:widowControl w:val="0"/>
              <w:overflowPunct w:val="0"/>
              <w:autoSpaceDE w:val="0"/>
              <w:autoSpaceDN w:val="0"/>
              <w:adjustRightInd w:val="0"/>
              <w:rPr>
                <w:rFonts w:eastAsia="Times New Roman" w:cs="Century Gothic"/>
                <w:iCs/>
                <w:kern w:val="28"/>
                <w:highlight w:val="yellow"/>
                <w:lang w:eastAsia="es-CL"/>
              </w:rPr>
            </w:pPr>
            <w:r w:rsidRPr="003E4192">
              <w:rPr>
                <w:rFonts w:eastAsia="Times New Roman" w:cs="Century Gothic"/>
                <w:iCs/>
                <w:kern w:val="28"/>
                <w:lang w:eastAsia="es-CL"/>
              </w:rPr>
              <w:t>Otros, no evaluados</w:t>
            </w:r>
          </w:p>
        </w:tc>
      </w:tr>
      <w:tr w:rsidR="005B0C54" w:rsidRPr="003964D4" w:rsidTr="005B0C54">
        <w:tc>
          <w:tcPr>
            <w:tcW w:w="206" w:type="pct"/>
          </w:tcPr>
          <w:p w:rsidR="005B0C54" w:rsidRPr="00107FA4" w:rsidRDefault="005B0C54" w:rsidP="008E06E7">
            <w:pPr>
              <w:widowControl w:val="0"/>
              <w:overflowPunct w:val="0"/>
              <w:autoSpaceDE w:val="0"/>
              <w:autoSpaceDN w:val="0"/>
              <w:adjustRightInd w:val="0"/>
              <w:spacing w:after="120" w:line="285" w:lineRule="auto"/>
              <w:jc w:val="center"/>
              <w:rPr>
                <w:rFonts w:cstheme="minorHAnsi"/>
                <w:iCs/>
              </w:rPr>
            </w:pPr>
            <w:r w:rsidRPr="003E4192">
              <w:rPr>
                <w:rFonts w:cstheme="minorHAnsi"/>
                <w:iCs/>
              </w:rPr>
              <w:t>1</w:t>
            </w:r>
            <w:r>
              <w:rPr>
                <w:rFonts w:cstheme="minorHAnsi"/>
                <w:iCs/>
              </w:rPr>
              <w:t>5</w:t>
            </w:r>
          </w:p>
        </w:tc>
        <w:tc>
          <w:tcPr>
            <w:tcW w:w="2301" w:type="pct"/>
          </w:tcPr>
          <w:p w:rsidR="005B0C54" w:rsidRPr="00107FA4" w:rsidRDefault="005B0C54" w:rsidP="008E06E7">
            <w:pPr>
              <w:widowControl w:val="0"/>
              <w:overflowPunct w:val="0"/>
              <w:autoSpaceDE w:val="0"/>
              <w:autoSpaceDN w:val="0"/>
              <w:adjustRightInd w:val="0"/>
              <w:rPr>
                <w:rFonts w:eastAsia="Times New Roman" w:cs="Century Gothic"/>
                <w:iCs/>
                <w:kern w:val="28"/>
                <w:lang w:eastAsia="es-CL"/>
              </w:rPr>
            </w:pPr>
            <w:r w:rsidRPr="003E4192">
              <w:rPr>
                <w:rFonts w:eastAsia="Times New Roman" w:cs="Century Gothic"/>
                <w:iCs/>
                <w:kern w:val="28"/>
                <w:lang w:eastAsia="es-CL"/>
              </w:rPr>
              <w:t>Resultados de último monitoreo de emisiones atmosféricas efectuado en incinerador.</w:t>
            </w:r>
          </w:p>
        </w:tc>
        <w:tc>
          <w:tcPr>
            <w:tcW w:w="697" w:type="pct"/>
          </w:tcPr>
          <w:p w:rsidR="005B0C54" w:rsidRPr="003E4192" w:rsidRDefault="005B0C54" w:rsidP="008E06E7">
            <w:pPr>
              <w:jc w:val="center"/>
              <w:rPr>
                <w:rFonts w:eastAsia="Times New Roman" w:cs="Century Gothic"/>
                <w:iCs/>
                <w:kern w:val="28"/>
                <w:lang w:eastAsia="es-CL"/>
              </w:rPr>
            </w:pPr>
            <w:r w:rsidRPr="009B7071">
              <w:rPr>
                <w:rFonts w:eastAsia="Times New Roman" w:cs="Century Gothic"/>
                <w:iCs/>
                <w:kern w:val="28"/>
                <w:lang w:eastAsia="es-CL"/>
              </w:rPr>
              <w:t>05/06/2013</w:t>
            </w:r>
          </w:p>
        </w:tc>
        <w:tc>
          <w:tcPr>
            <w:tcW w:w="643" w:type="pct"/>
          </w:tcPr>
          <w:p w:rsidR="005B0C54" w:rsidRPr="003E4192" w:rsidRDefault="005B0C54" w:rsidP="008E06E7">
            <w:pPr>
              <w:widowControl w:val="0"/>
              <w:overflowPunct w:val="0"/>
              <w:autoSpaceDE w:val="0"/>
              <w:autoSpaceDN w:val="0"/>
              <w:adjustRightInd w:val="0"/>
              <w:spacing w:after="120"/>
              <w:jc w:val="center"/>
              <w:rPr>
                <w:rFonts w:eastAsia="Times New Roman" w:cs="Century Gothic"/>
                <w:iCs/>
                <w:kern w:val="28"/>
                <w:lang w:eastAsia="es-CL"/>
              </w:rPr>
            </w:pPr>
            <w:r w:rsidRPr="009B7071">
              <w:rPr>
                <w:rFonts w:eastAsia="Times New Roman" w:cs="Century Gothic"/>
                <w:iCs/>
                <w:kern w:val="28"/>
                <w:lang w:eastAsia="es-CL"/>
              </w:rPr>
              <w:t>05/06/2013</w:t>
            </w:r>
          </w:p>
        </w:tc>
        <w:tc>
          <w:tcPr>
            <w:tcW w:w="1153" w:type="pct"/>
          </w:tcPr>
          <w:p w:rsidR="005B0C54" w:rsidRPr="003E4192" w:rsidRDefault="005B0C54" w:rsidP="008E06E7">
            <w:pPr>
              <w:widowControl w:val="0"/>
              <w:overflowPunct w:val="0"/>
              <w:autoSpaceDE w:val="0"/>
              <w:autoSpaceDN w:val="0"/>
              <w:adjustRightInd w:val="0"/>
              <w:rPr>
                <w:rFonts w:eastAsia="Times New Roman" w:cs="Century Gothic"/>
                <w:iCs/>
                <w:kern w:val="28"/>
                <w:lang w:eastAsia="es-CL"/>
              </w:rPr>
            </w:pPr>
            <w:r w:rsidRPr="003E4192">
              <w:rPr>
                <w:rFonts w:eastAsia="Times New Roman" w:cs="Century Gothic"/>
                <w:iCs/>
                <w:kern w:val="28"/>
                <w:lang w:eastAsia="es-CL"/>
              </w:rPr>
              <w:t>Otros, no evaluados</w:t>
            </w:r>
          </w:p>
        </w:tc>
      </w:tr>
      <w:tr w:rsidR="005B0C54" w:rsidRPr="003964D4" w:rsidTr="005B0C54">
        <w:tc>
          <w:tcPr>
            <w:tcW w:w="206" w:type="pct"/>
          </w:tcPr>
          <w:p w:rsidR="005B0C54" w:rsidRPr="003E4192" w:rsidRDefault="005B0C54" w:rsidP="008E06E7">
            <w:pPr>
              <w:widowControl w:val="0"/>
              <w:overflowPunct w:val="0"/>
              <w:autoSpaceDE w:val="0"/>
              <w:autoSpaceDN w:val="0"/>
              <w:adjustRightInd w:val="0"/>
              <w:spacing w:after="120" w:line="285" w:lineRule="auto"/>
              <w:jc w:val="center"/>
              <w:rPr>
                <w:rFonts w:cstheme="minorHAnsi"/>
                <w:iCs/>
              </w:rPr>
            </w:pPr>
            <w:r w:rsidRPr="003E4192">
              <w:rPr>
                <w:rFonts w:cstheme="minorHAnsi"/>
                <w:iCs/>
              </w:rPr>
              <w:t>1</w:t>
            </w:r>
            <w:r>
              <w:rPr>
                <w:rFonts w:cstheme="minorHAnsi"/>
                <w:iCs/>
              </w:rPr>
              <w:t>6</w:t>
            </w:r>
          </w:p>
        </w:tc>
        <w:tc>
          <w:tcPr>
            <w:tcW w:w="2301" w:type="pct"/>
          </w:tcPr>
          <w:p w:rsidR="005B0C54" w:rsidRPr="003E4192" w:rsidRDefault="005B0C54" w:rsidP="008E06E7">
            <w:pPr>
              <w:widowControl w:val="0"/>
              <w:overflowPunct w:val="0"/>
              <w:autoSpaceDE w:val="0"/>
              <w:autoSpaceDN w:val="0"/>
              <w:adjustRightInd w:val="0"/>
              <w:rPr>
                <w:rFonts w:eastAsia="Times New Roman" w:cs="Century Gothic"/>
                <w:iCs/>
                <w:kern w:val="28"/>
                <w:lang w:eastAsia="es-CL"/>
              </w:rPr>
            </w:pPr>
            <w:r w:rsidRPr="003E4192">
              <w:rPr>
                <w:rFonts w:eastAsia="Times New Roman" w:cs="Century Gothic"/>
                <w:iCs/>
                <w:kern w:val="28"/>
                <w:lang w:eastAsia="es-CL"/>
              </w:rPr>
              <w:t>Cubicaciones que respalden el cálculo de la capacidad máxima del embalse utilizado para la acumulación de agua.</w:t>
            </w:r>
          </w:p>
        </w:tc>
        <w:tc>
          <w:tcPr>
            <w:tcW w:w="697" w:type="pct"/>
          </w:tcPr>
          <w:p w:rsidR="005B0C54" w:rsidRPr="003E4192" w:rsidRDefault="005B0C54" w:rsidP="008E06E7">
            <w:pPr>
              <w:jc w:val="center"/>
              <w:rPr>
                <w:rFonts w:eastAsia="Times New Roman" w:cs="Century Gothic"/>
                <w:iCs/>
                <w:kern w:val="28"/>
                <w:lang w:eastAsia="es-CL"/>
              </w:rPr>
            </w:pPr>
            <w:r w:rsidRPr="009B7071">
              <w:rPr>
                <w:rFonts w:eastAsia="Times New Roman" w:cs="Century Gothic"/>
                <w:iCs/>
                <w:kern w:val="28"/>
                <w:lang w:eastAsia="es-CL"/>
              </w:rPr>
              <w:t>05/06/2013</w:t>
            </w:r>
          </w:p>
        </w:tc>
        <w:tc>
          <w:tcPr>
            <w:tcW w:w="643" w:type="pct"/>
          </w:tcPr>
          <w:p w:rsidR="005B0C54" w:rsidRPr="003E4192" w:rsidRDefault="005B0C54" w:rsidP="008E06E7">
            <w:pPr>
              <w:widowControl w:val="0"/>
              <w:overflowPunct w:val="0"/>
              <w:autoSpaceDE w:val="0"/>
              <w:autoSpaceDN w:val="0"/>
              <w:adjustRightInd w:val="0"/>
              <w:spacing w:after="120"/>
              <w:jc w:val="center"/>
              <w:rPr>
                <w:rFonts w:eastAsia="Times New Roman" w:cs="Century Gothic"/>
                <w:iCs/>
                <w:kern w:val="28"/>
                <w:lang w:eastAsia="es-CL"/>
              </w:rPr>
            </w:pPr>
            <w:r w:rsidRPr="009B7071">
              <w:rPr>
                <w:rFonts w:eastAsia="Times New Roman" w:cs="Century Gothic"/>
                <w:iCs/>
                <w:kern w:val="28"/>
                <w:lang w:eastAsia="es-CL"/>
              </w:rPr>
              <w:t>05/06/2013</w:t>
            </w:r>
          </w:p>
        </w:tc>
        <w:tc>
          <w:tcPr>
            <w:tcW w:w="1153" w:type="pct"/>
          </w:tcPr>
          <w:p w:rsidR="005B0C54" w:rsidRPr="003E4192" w:rsidRDefault="005B0C54" w:rsidP="008E06E7">
            <w:pPr>
              <w:widowControl w:val="0"/>
              <w:overflowPunct w:val="0"/>
              <w:autoSpaceDE w:val="0"/>
              <w:autoSpaceDN w:val="0"/>
              <w:adjustRightInd w:val="0"/>
              <w:rPr>
                <w:rFonts w:eastAsia="Times New Roman" w:cs="Century Gothic"/>
                <w:iCs/>
                <w:kern w:val="28"/>
                <w:lang w:eastAsia="es-CL"/>
              </w:rPr>
            </w:pPr>
            <w:r w:rsidRPr="003E4192">
              <w:rPr>
                <w:rFonts w:eastAsia="Times New Roman" w:cs="Century Gothic"/>
                <w:iCs/>
                <w:kern w:val="28"/>
                <w:lang w:eastAsia="es-CL"/>
              </w:rPr>
              <w:t>Otros, no evaluados</w:t>
            </w:r>
          </w:p>
        </w:tc>
      </w:tr>
    </w:tbl>
    <w:p w:rsidR="009D4F25" w:rsidRDefault="009D4F25" w:rsidP="005B0C54">
      <w:bookmarkStart w:id="1" w:name="_GoBack"/>
      <w:bookmarkEnd w:id="1"/>
    </w:p>
    <w:sectPr w:rsidR="009D4F25" w:rsidSect="005B0C54">
      <w:pgSz w:w="15840" w:h="12240"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432E9" w:rsidRDefault="00E432E9" w:rsidP="005B0C54">
      <w:r>
        <w:separator/>
      </w:r>
    </w:p>
  </w:endnote>
  <w:endnote w:type="continuationSeparator" w:id="0">
    <w:p w:rsidR="00E432E9" w:rsidRDefault="00E432E9" w:rsidP="005B0C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432E9" w:rsidRDefault="00E432E9" w:rsidP="005B0C54">
      <w:r>
        <w:separator/>
      </w:r>
    </w:p>
  </w:footnote>
  <w:footnote w:type="continuationSeparator" w:id="0">
    <w:p w:rsidR="00E432E9" w:rsidRDefault="00E432E9" w:rsidP="005B0C5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7525040"/>
    <w:multiLevelType w:val="multilevel"/>
    <w:tmpl w:val="28DA7ACE"/>
    <w:lvl w:ilvl="0">
      <w:start w:val="1"/>
      <w:numFmt w:val="decimal"/>
      <w:pStyle w:val="Ttulo1"/>
      <w:lvlText w:val="%1."/>
      <w:lvlJc w:val="left"/>
      <w:pPr>
        <w:ind w:left="432" w:hanging="432"/>
      </w:pPr>
      <w:rPr>
        <w:rFonts w:hint="default"/>
        <w:b/>
      </w:rPr>
    </w:lvl>
    <w:lvl w:ilvl="1">
      <w:start w:val="1"/>
      <w:numFmt w:val="decimal"/>
      <w:pStyle w:val="Ttulo2"/>
      <w:lvlText w:val="%1.%2."/>
      <w:lvlJc w:val="left"/>
      <w:pPr>
        <w:ind w:left="576" w:hanging="576"/>
      </w:pPr>
      <w:rPr>
        <w:rFonts w:hint="default"/>
      </w:rPr>
    </w:lvl>
    <w:lvl w:ilvl="2">
      <w:start w:val="1"/>
      <w:numFmt w:val="decimal"/>
      <w:pStyle w:val="Ttulo3"/>
      <w:lvlText w:val="%1.%2.%3."/>
      <w:lvlJc w:val="left"/>
      <w:pPr>
        <w:ind w:left="720" w:hanging="720"/>
      </w:pPr>
      <w:rPr>
        <w:rFonts w:hint="default"/>
        <w:b/>
        <w:color w:val="auto"/>
        <w:sz w:val="22"/>
        <w:szCs w:val="22"/>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0C54"/>
    <w:rsid w:val="005B0C54"/>
    <w:rsid w:val="009D4F25"/>
    <w:rsid w:val="00E432E9"/>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C54"/>
    <w:pPr>
      <w:spacing w:after="0" w:line="240" w:lineRule="auto"/>
      <w:jc w:val="both"/>
    </w:pPr>
    <w:rPr>
      <w:rFonts w:eastAsia="Calibri" w:cs="Times New Roman"/>
    </w:rPr>
  </w:style>
  <w:style w:type="paragraph" w:styleId="Ttulo1">
    <w:name w:val="heading 1"/>
    <w:basedOn w:val="Prrafodelista"/>
    <w:next w:val="Normal"/>
    <w:link w:val="Ttulo1Car"/>
    <w:uiPriority w:val="99"/>
    <w:qFormat/>
    <w:rsid w:val="005B0C54"/>
    <w:pPr>
      <w:numPr>
        <w:numId w:val="1"/>
      </w:numPr>
      <w:ind w:left="567" w:hanging="567"/>
      <w:jc w:val="left"/>
      <w:outlineLvl w:val="0"/>
    </w:pPr>
    <w:rPr>
      <w:rFonts w:cstheme="minorHAnsi"/>
      <w:b/>
      <w:sz w:val="24"/>
      <w:szCs w:val="20"/>
    </w:rPr>
  </w:style>
  <w:style w:type="paragraph" w:styleId="Ttulo2">
    <w:name w:val="heading 2"/>
    <w:basedOn w:val="Ttulo1"/>
    <w:next w:val="Normal"/>
    <w:link w:val="Ttulo2Car"/>
    <w:uiPriority w:val="99"/>
    <w:qFormat/>
    <w:rsid w:val="005B0C54"/>
    <w:pPr>
      <w:numPr>
        <w:ilvl w:val="1"/>
      </w:numPr>
      <w:outlineLvl w:val="1"/>
    </w:pPr>
  </w:style>
  <w:style w:type="paragraph" w:styleId="Ttulo3">
    <w:name w:val="heading 3"/>
    <w:basedOn w:val="Ttulo2"/>
    <w:next w:val="Normal"/>
    <w:link w:val="Ttulo3Car"/>
    <w:uiPriority w:val="99"/>
    <w:qFormat/>
    <w:rsid w:val="005B0C54"/>
    <w:pPr>
      <w:numPr>
        <w:ilvl w:val="2"/>
      </w:numPr>
      <w:outlineLvl w:val="2"/>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5B0C54"/>
    <w:rPr>
      <w:rFonts w:eastAsia="Calibri" w:cstheme="minorHAnsi"/>
      <w:b/>
      <w:sz w:val="24"/>
      <w:szCs w:val="20"/>
    </w:rPr>
  </w:style>
  <w:style w:type="character" w:customStyle="1" w:styleId="Ttulo2Car">
    <w:name w:val="Título 2 Car"/>
    <w:basedOn w:val="Fuentedeprrafopredeter"/>
    <w:link w:val="Ttulo2"/>
    <w:uiPriority w:val="99"/>
    <w:rsid w:val="005B0C54"/>
    <w:rPr>
      <w:rFonts w:eastAsia="Calibri" w:cstheme="minorHAnsi"/>
      <w:b/>
      <w:sz w:val="24"/>
      <w:szCs w:val="20"/>
    </w:rPr>
  </w:style>
  <w:style w:type="character" w:customStyle="1" w:styleId="Ttulo3Car">
    <w:name w:val="Título 3 Car"/>
    <w:basedOn w:val="Fuentedeprrafopredeter"/>
    <w:link w:val="Ttulo3"/>
    <w:uiPriority w:val="99"/>
    <w:rsid w:val="005B0C54"/>
    <w:rPr>
      <w:rFonts w:eastAsia="Calibri" w:cstheme="minorHAnsi"/>
      <w:b/>
      <w:szCs w:val="20"/>
    </w:rPr>
  </w:style>
  <w:style w:type="table" w:styleId="Tablaconcuadrcula">
    <w:name w:val="Table Grid"/>
    <w:basedOn w:val="Tablanormal"/>
    <w:uiPriority w:val="99"/>
    <w:rsid w:val="005B0C54"/>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B0C54"/>
    <w:pPr>
      <w:ind w:left="720"/>
      <w:contextualSpacing/>
    </w:pPr>
  </w:style>
  <w:style w:type="paragraph" w:styleId="Encabezado">
    <w:name w:val="header"/>
    <w:basedOn w:val="Normal"/>
    <w:link w:val="EncabezadoCar"/>
    <w:uiPriority w:val="99"/>
    <w:unhideWhenUsed/>
    <w:rsid w:val="005B0C54"/>
    <w:pPr>
      <w:tabs>
        <w:tab w:val="center" w:pos="4419"/>
        <w:tab w:val="right" w:pos="8838"/>
      </w:tabs>
    </w:pPr>
  </w:style>
  <w:style w:type="character" w:customStyle="1" w:styleId="EncabezadoCar">
    <w:name w:val="Encabezado Car"/>
    <w:basedOn w:val="Fuentedeprrafopredeter"/>
    <w:link w:val="Encabezado"/>
    <w:uiPriority w:val="99"/>
    <w:rsid w:val="005B0C54"/>
    <w:rPr>
      <w:rFonts w:eastAsia="Calibri" w:cs="Times New Roman"/>
    </w:rPr>
  </w:style>
  <w:style w:type="paragraph" w:styleId="Piedepgina">
    <w:name w:val="footer"/>
    <w:basedOn w:val="Normal"/>
    <w:link w:val="PiedepginaCar"/>
    <w:uiPriority w:val="99"/>
    <w:unhideWhenUsed/>
    <w:rsid w:val="005B0C54"/>
    <w:pPr>
      <w:tabs>
        <w:tab w:val="center" w:pos="4419"/>
        <w:tab w:val="right" w:pos="8838"/>
      </w:tabs>
    </w:pPr>
  </w:style>
  <w:style w:type="character" w:customStyle="1" w:styleId="PiedepginaCar">
    <w:name w:val="Pie de página Car"/>
    <w:basedOn w:val="Fuentedeprrafopredeter"/>
    <w:link w:val="Piedepgina"/>
    <w:uiPriority w:val="99"/>
    <w:rsid w:val="005B0C54"/>
    <w:rPr>
      <w:rFonts w:eastAsia="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0C54"/>
    <w:pPr>
      <w:spacing w:after="0" w:line="240" w:lineRule="auto"/>
      <w:jc w:val="both"/>
    </w:pPr>
    <w:rPr>
      <w:rFonts w:eastAsia="Calibri" w:cs="Times New Roman"/>
    </w:rPr>
  </w:style>
  <w:style w:type="paragraph" w:styleId="Ttulo1">
    <w:name w:val="heading 1"/>
    <w:basedOn w:val="Prrafodelista"/>
    <w:next w:val="Normal"/>
    <w:link w:val="Ttulo1Car"/>
    <w:uiPriority w:val="99"/>
    <w:qFormat/>
    <w:rsid w:val="005B0C54"/>
    <w:pPr>
      <w:numPr>
        <w:numId w:val="1"/>
      </w:numPr>
      <w:ind w:left="567" w:hanging="567"/>
      <w:jc w:val="left"/>
      <w:outlineLvl w:val="0"/>
    </w:pPr>
    <w:rPr>
      <w:rFonts w:cstheme="minorHAnsi"/>
      <w:b/>
      <w:sz w:val="24"/>
      <w:szCs w:val="20"/>
    </w:rPr>
  </w:style>
  <w:style w:type="paragraph" w:styleId="Ttulo2">
    <w:name w:val="heading 2"/>
    <w:basedOn w:val="Ttulo1"/>
    <w:next w:val="Normal"/>
    <w:link w:val="Ttulo2Car"/>
    <w:uiPriority w:val="99"/>
    <w:qFormat/>
    <w:rsid w:val="005B0C54"/>
    <w:pPr>
      <w:numPr>
        <w:ilvl w:val="1"/>
      </w:numPr>
      <w:outlineLvl w:val="1"/>
    </w:pPr>
  </w:style>
  <w:style w:type="paragraph" w:styleId="Ttulo3">
    <w:name w:val="heading 3"/>
    <w:basedOn w:val="Ttulo2"/>
    <w:next w:val="Normal"/>
    <w:link w:val="Ttulo3Car"/>
    <w:uiPriority w:val="99"/>
    <w:qFormat/>
    <w:rsid w:val="005B0C54"/>
    <w:pPr>
      <w:numPr>
        <w:ilvl w:val="2"/>
      </w:numPr>
      <w:outlineLvl w:val="2"/>
    </w:pPr>
    <w:rPr>
      <w:sz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rsid w:val="005B0C54"/>
    <w:rPr>
      <w:rFonts w:eastAsia="Calibri" w:cstheme="minorHAnsi"/>
      <w:b/>
      <w:sz w:val="24"/>
      <w:szCs w:val="20"/>
    </w:rPr>
  </w:style>
  <w:style w:type="character" w:customStyle="1" w:styleId="Ttulo2Car">
    <w:name w:val="Título 2 Car"/>
    <w:basedOn w:val="Fuentedeprrafopredeter"/>
    <w:link w:val="Ttulo2"/>
    <w:uiPriority w:val="99"/>
    <w:rsid w:val="005B0C54"/>
    <w:rPr>
      <w:rFonts w:eastAsia="Calibri" w:cstheme="minorHAnsi"/>
      <w:b/>
      <w:sz w:val="24"/>
      <w:szCs w:val="20"/>
    </w:rPr>
  </w:style>
  <w:style w:type="character" w:customStyle="1" w:styleId="Ttulo3Car">
    <w:name w:val="Título 3 Car"/>
    <w:basedOn w:val="Fuentedeprrafopredeter"/>
    <w:link w:val="Ttulo3"/>
    <w:uiPriority w:val="99"/>
    <w:rsid w:val="005B0C54"/>
    <w:rPr>
      <w:rFonts w:eastAsia="Calibri" w:cstheme="minorHAnsi"/>
      <w:b/>
      <w:szCs w:val="20"/>
    </w:rPr>
  </w:style>
  <w:style w:type="table" w:styleId="Tablaconcuadrcula">
    <w:name w:val="Table Grid"/>
    <w:basedOn w:val="Tablanormal"/>
    <w:uiPriority w:val="99"/>
    <w:rsid w:val="005B0C54"/>
    <w:pPr>
      <w:spacing w:after="0" w:line="240" w:lineRule="auto"/>
    </w:pPr>
    <w:rPr>
      <w:rFonts w:ascii="Calibri" w:eastAsia="Calibri" w:hAnsi="Calibri" w:cs="Times New Roman"/>
      <w:sz w:val="20"/>
      <w:szCs w:val="20"/>
      <w:lang w:val="es-ES" w:eastAsia="es-E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Prrafodelista">
    <w:name w:val="List Paragraph"/>
    <w:basedOn w:val="Normal"/>
    <w:uiPriority w:val="34"/>
    <w:qFormat/>
    <w:rsid w:val="005B0C54"/>
    <w:pPr>
      <w:ind w:left="720"/>
      <w:contextualSpacing/>
    </w:pPr>
  </w:style>
  <w:style w:type="paragraph" w:styleId="Encabezado">
    <w:name w:val="header"/>
    <w:basedOn w:val="Normal"/>
    <w:link w:val="EncabezadoCar"/>
    <w:uiPriority w:val="99"/>
    <w:unhideWhenUsed/>
    <w:rsid w:val="005B0C54"/>
    <w:pPr>
      <w:tabs>
        <w:tab w:val="center" w:pos="4419"/>
        <w:tab w:val="right" w:pos="8838"/>
      </w:tabs>
    </w:pPr>
  </w:style>
  <w:style w:type="character" w:customStyle="1" w:styleId="EncabezadoCar">
    <w:name w:val="Encabezado Car"/>
    <w:basedOn w:val="Fuentedeprrafopredeter"/>
    <w:link w:val="Encabezado"/>
    <w:uiPriority w:val="99"/>
    <w:rsid w:val="005B0C54"/>
    <w:rPr>
      <w:rFonts w:eastAsia="Calibri" w:cs="Times New Roman"/>
    </w:rPr>
  </w:style>
  <w:style w:type="paragraph" w:styleId="Piedepgina">
    <w:name w:val="footer"/>
    <w:basedOn w:val="Normal"/>
    <w:link w:val="PiedepginaCar"/>
    <w:uiPriority w:val="99"/>
    <w:unhideWhenUsed/>
    <w:rsid w:val="005B0C54"/>
    <w:pPr>
      <w:tabs>
        <w:tab w:val="center" w:pos="4419"/>
        <w:tab w:val="right" w:pos="8838"/>
      </w:tabs>
    </w:pPr>
  </w:style>
  <w:style w:type="character" w:customStyle="1" w:styleId="PiedepginaCar">
    <w:name w:val="Pie de página Car"/>
    <w:basedOn w:val="Fuentedeprrafopredeter"/>
    <w:link w:val="Piedepgina"/>
    <w:uiPriority w:val="99"/>
    <w:rsid w:val="005B0C54"/>
    <w:rPr>
      <w:rFonts w:eastAsia="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openxmlformats.org/officeDocument/2006/relationships/customXml" Target="../customXml/item4.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customXml" Target="../customXml/item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customXml" Target="../customXml/item2.xml"/><Relationship Id="rId5" Type="http://schemas.openxmlformats.org/officeDocument/2006/relationships/webSettings" Target="webSettings.xml"/><Relationship Id="rId10" Type="http://schemas.openxmlformats.org/officeDocument/2006/relationships/customXml" Target="../customXml/item1.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435AEACABBADB42B6E854DEDE2703BF" ma:contentTypeVersion="8" ma:contentTypeDescription="Crear nuevo documento." ma:contentTypeScope="" ma:versionID="8c9124b5608f6c3afb64ed5fdce95c00">
  <xsd:schema xmlns:xsd="http://www.w3.org/2001/XMLSchema" xmlns:xs="http://www.w3.org/2001/XMLSchema" xmlns:p="http://schemas.microsoft.com/office/2006/metadata/properties" xmlns:ns2="cd7df43d-10b9-47d8-a000-58f6ff9a05a9" xmlns:ns3="21c3207e-4ad9-41ce-b187-b126d6257ffb" targetNamespace="http://schemas.microsoft.com/office/2006/metadata/properties" ma:root="true" ma:fieldsID="471b305a1b93216af0cd42a5230a6a27" ns2:_="" ns3:_="">
    <xsd:import namespace="cd7df43d-10b9-47d8-a000-58f6ff9a05a9"/>
    <xsd:import namespace="21c3207e-4ad9-41ce-b187-b126d6257ffb"/>
    <xsd:element name="properties">
      <xsd:complexType>
        <xsd:sequence>
          <xsd:element name="documentManagement">
            <xsd:complexType>
              <xsd:all>
                <xsd:element ref="ns2:N_x00b0__x0020_Documento" minOccurs="0"/>
                <xsd:element ref="ns2:N_x00b0__x0020_Exp" minOccurs="0"/>
                <xsd:element ref="ns2:Fecha_x0020_Publicaci_x00f3_n" minOccurs="0"/>
                <xsd:element ref="ns2:Destinatario" minOccurs="0"/>
                <xsd:element ref="ns2:Fecha_x0020_Generaci_x00f3_n" minOccurs="0"/>
                <xsd:element ref="ns2:Remitido_x0020_Por"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d7df43d-10b9-47d8-a000-58f6ff9a05a9" elementFormDefault="qualified">
    <xsd:import namespace="http://schemas.microsoft.com/office/2006/documentManagement/types"/>
    <xsd:import namespace="http://schemas.microsoft.com/office/infopath/2007/PartnerControls"/>
    <xsd:element name="N_x00b0__x0020_Documento" ma:index="8" nillable="true" ma:displayName="N° Documento" ma:internalName="N_x00b0__x0020_Documento">
      <xsd:simpleType>
        <xsd:restriction base="dms:Text">
          <xsd:maxLength value="255"/>
        </xsd:restriction>
      </xsd:simpleType>
    </xsd:element>
    <xsd:element name="N_x00b0__x0020_Exp" ma:index="9" nillable="true" ma:displayName="N° Exp" ma:internalName="N_x00b0__x0020_Exp">
      <xsd:simpleType>
        <xsd:restriction base="dms:Text">
          <xsd:maxLength value="255"/>
        </xsd:restriction>
      </xsd:simpleType>
    </xsd:element>
    <xsd:element name="Fecha_x0020_Publicaci_x00f3_n" ma:index="10" nillable="true" ma:displayName="Fecha Publicación" ma:default="[today]" ma:description="Fecha Publicación en Expediente Electrónico" ma:format="DateOnly" ma:internalName="Fecha_x0020_Publicaci_x00f3_n">
      <xsd:simpleType>
        <xsd:restriction base="dms:DateTime"/>
      </xsd:simpleType>
    </xsd:element>
    <xsd:element name="Destinatario" ma:index="11" nillable="true" ma:displayName="Destinatario" ma:internalName="Destinatario">
      <xsd:simpleType>
        <xsd:restriction base="dms:Text">
          <xsd:maxLength value="255"/>
        </xsd:restriction>
      </xsd:simpleType>
    </xsd:element>
    <xsd:element name="Fecha_x0020_Generaci_x00f3_n" ma:index="12" nillable="true" ma:displayName="Fecha Generación" ma:default="[today]" ma:format="DateOnly" ma:internalName="Fecha_x0020_Generaci_x00f3_n">
      <xsd:simpleType>
        <xsd:restriction base="dms:DateTime"/>
      </xsd:simpleType>
    </xsd:element>
    <xsd:element name="Remitido_x0020_Por" ma:index="13" nillable="true" ma:displayName="Remitido Por" ma:list="{461986f8-ccac-4691-983b-799eae54cbac}" ma:internalName="Remitido_x0020_Por"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21c3207e-4ad9-41ce-b187-b126d6257ffb" elementFormDefault="qualified">
    <xsd:import namespace="http://schemas.microsoft.com/office/2006/documentManagement/types"/>
    <xsd:import namespace="http://schemas.microsoft.com/office/infopath/2007/PartnerControls"/>
    <xsd:element name="_dlc_DocId" ma:index="14" nillable="true" ma:displayName="Valor de Id. de documento" ma:description="El valor del identificador de documento asignado a este elemento." ma:internalName="_dlc_DocId" ma:readOnly="true">
      <xsd:simpleType>
        <xsd:restriction base="dms:Text"/>
      </xsd:simpleType>
    </xsd:element>
    <xsd:element name="_dlc_DocIdUrl" ma:index="15" nillable="true" ma:displayName="Id. de documento" ma:description="Vínculo permanente a este documento."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6" nillable="true" ma:displayName="Identificador persistente" ma:description="Mantener el identificador al agregar."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Remitido_x0020_Por xmlns="cd7df43d-10b9-47d8-a000-58f6ff9a05a9" xsi:nil="true"/>
    <Fecha_x0020_Publicaci_x00f3_n xmlns="cd7df43d-10b9-47d8-a000-58f6ff9a05a9">2013-10-28T20:32:49+00:00</Fecha_x0020_Publicaci_x00f3_n>
    <N_x00b0__x0020_Documento xmlns="cd7df43d-10b9-47d8-a000-58f6ff9a05a9" xsi:nil="true"/>
    <Destinatario xmlns="cd7df43d-10b9-47d8-a000-58f6ff9a05a9" xsi:nil="true"/>
    <Fecha_x0020_Generaci_x00f3_n xmlns="cd7df43d-10b9-47d8-a000-58f6ff9a05a9">2013-10-28T20:32:49+00:00</Fecha_x0020_Generaci_x00f3_n>
    <N_x00b0__x0020_Exp xmlns="cd7df43d-10b9-47d8-a000-58f6ff9a05a9" xsi:nil="true"/>
    <_dlc_DocId xmlns="21c3207e-4ad9-41ce-b187-b126d6257ffb">636UEWMD4YA6-18-42920</_dlc_DocId>
    <_dlc_DocIdUrl xmlns="21c3207e-4ad9-41ce-b187-b126d6257ffb">
      <Url>http://sharepoint/dfz/_layouts/DocIdRedir.aspx?ID=636UEWMD4YA6-18-42920</Url>
      <Description>636UEWMD4YA6-18-42920</Description>
    </_dlc_DocIdUrl>
  </documentManagement>
</p:properties>
</file>

<file path=customXml/itemProps1.xml><?xml version="1.0" encoding="utf-8"?>
<ds:datastoreItem xmlns:ds="http://schemas.openxmlformats.org/officeDocument/2006/customXml" ds:itemID="{FCB62E45-0F32-418E-A2FB-DD0FA88D4836}"/>
</file>

<file path=customXml/itemProps2.xml><?xml version="1.0" encoding="utf-8"?>
<ds:datastoreItem xmlns:ds="http://schemas.openxmlformats.org/officeDocument/2006/customXml" ds:itemID="{667A7257-D6DB-43F8-9BE8-F523E5CD9385}"/>
</file>

<file path=customXml/itemProps3.xml><?xml version="1.0" encoding="utf-8"?>
<ds:datastoreItem xmlns:ds="http://schemas.openxmlformats.org/officeDocument/2006/customXml" ds:itemID="{61C2DF62-3776-4666-8FCD-AD525719C5F5}"/>
</file>

<file path=customXml/itemProps4.xml><?xml version="1.0" encoding="utf-8"?>
<ds:datastoreItem xmlns:ds="http://schemas.openxmlformats.org/officeDocument/2006/customXml" ds:itemID="{D5EAACE2-F412-4A03-8861-13F9F53B370E}"/>
</file>

<file path=docProps/app.xml><?xml version="1.0" encoding="utf-8"?>
<Properties xmlns="http://schemas.openxmlformats.org/officeDocument/2006/extended-properties" xmlns:vt="http://schemas.openxmlformats.org/officeDocument/2006/docPropsVTypes">
  <Template>Normal.dotm</Template>
  <TotalTime>2</TotalTime>
  <Pages>2</Pages>
  <Words>790</Words>
  <Characters>4350</Characters>
  <Application>Microsoft Office Word</Application>
  <DocSecurity>0</DocSecurity>
  <Lines>36</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5130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Andy Morrison Bencich</dc:creator>
  <cp:lastModifiedBy>Andy Morrison Bencich</cp:lastModifiedBy>
  <cp:revision>1</cp:revision>
  <dcterms:created xsi:type="dcterms:W3CDTF">2013-10-14T03:46:00Z</dcterms:created>
  <dcterms:modified xsi:type="dcterms:W3CDTF">2013-10-14T03:48:00Z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0x0101001435AEACABBADB42B6E854DEDE2703BF</vt:lpwstr>
  </property>
  <property fmtid="{D5CDD505-2E9C-101B-9397-08002B2CF9AE}" pid="3" name="_dlc_DocIdItemGuid">
    <vt:lpwstr>8ed80455-2124-4814-bb1e-271fe3d540f7</vt:lpwstr>
  </property>
</Properties>
</file>